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-601" w:type="dxa"/>
        <w:tblLook w:val="04A0" w:firstRow="1" w:lastRow="0" w:firstColumn="1" w:lastColumn="0" w:noHBand="0" w:noVBand="1"/>
      </w:tblPr>
      <w:tblGrid>
        <w:gridCol w:w="6096"/>
        <w:gridCol w:w="1984"/>
        <w:gridCol w:w="1763"/>
      </w:tblGrid>
      <w:tr w:rsidR="006E20FE" w14:paraId="08DE16EB" w14:textId="77777777" w:rsidTr="002466CE">
        <w:tc>
          <w:tcPr>
            <w:tcW w:w="6096" w:type="dxa"/>
          </w:tcPr>
          <w:p w14:paraId="2EAEDA7B" w14:textId="0FFD881E" w:rsidR="00367110" w:rsidRPr="00367110" w:rsidRDefault="00367110" w:rsidP="00367110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67110">
              <w:rPr>
                <w:b/>
                <w:bCs/>
                <w:sz w:val="32"/>
                <w:szCs w:val="32"/>
              </w:rPr>
              <w:t xml:space="preserve">Statement </w:t>
            </w:r>
          </w:p>
        </w:tc>
        <w:tc>
          <w:tcPr>
            <w:tcW w:w="1984" w:type="dxa"/>
          </w:tcPr>
          <w:p w14:paraId="05005BCE" w14:textId="3261C612" w:rsidR="00367110" w:rsidRPr="00367110" w:rsidRDefault="00367110" w:rsidP="00367110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67110">
              <w:rPr>
                <w:b/>
                <w:bCs/>
                <w:sz w:val="32"/>
                <w:szCs w:val="32"/>
              </w:rPr>
              <w:t>Relev</w:t>
            </w:r>
            <w:r>
              <w:rPr>
                <w:b/>
                <w:bCs/>
                <w:sz w:val="32"/>
                <w:szCs w:val="32"/>
              </w:rPr>
              <w:t>a</w:t>
            </w:r>
            <w:r w:rsidRPr="00367110">
              <w:rPr>
                <w:b/>
                <w:bCs/>
                <w:sz w:val="32"/>
                <w:szCs w:val="32"/>
              </w:rPr>
              <w:t xml:space="preserve">nt </w:t>
            </w:r>
            <w:r w:rsidR="0026314A">
              <w:rPr>
                <w:b/>
                <w:bCs/>
                <w:sz w:val="32"/>
                <w:szCs w:val="32"/>
              </w:rPr>
              <w:t>section</w:t>
            </w:r>
            <w:r w:rsidRPr="00367110">
              <w:rPr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1763" w:type="dxa"/>
          </w:tcPr>
          <w:p w14:paraId="79CEAD5F" w14:textId="63DEB0BD" w:rsidR="00367110" w:rsidRPr="00367110" w:rsidRDefault="00367110" w:rsidP="00367110">
            <w:pPr>
              <w:pStyle w:val="ListParagraph"/>
              <w:ind w:left="0"/>
              <w:rPr>
                <w:b/>
                <w:bCs/>
                <w:sz w:val="32"/>
                <w:szCs w:val="32"/>
              </w:rPr>
            </w:pPr>
            <w:r w:rsidRPr="00367110">
              <w:rPr>
                <w:b/>
                <w:bCs/>
                <w:sz w:val="32"/>
                <w:szCs w:val="32"/>
              </w:rPr>
              <w:t xml:space="preserve">Relevant </w:t>
            </w:r>
            <w:r w:rsidR="0026314A">
              <w:rPr>
                <w:b/>
                <w:bCs/>
                <w:sz w:val="32"/>
                <w:szCs w:val="32"/>
              </w:rPr>
              <w:t>Paragraph</w:t>
            </w:r>
          </w:p>
        </w:tc>
      </w:tr>
      <w:tr w:rsidR="006E20FE" w14:paraId="601A7048" w14:textId="77777777" w:rsidTr="002466CE">
        <w:tc>
          <w:tcPr>
            <w:tcW w:w="6096" w:type="dxa"/>
          </w:tcPr>
          <w:p w14:paraId="72CA03C6" w14:textId="77777777" w:rsidR="00362906" w:rsidRPr="0073150D" w:rsidRDefault="00362906" w:rsidP="00367110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Amenities: </w:t>
            </w:r>
          </w:p>
          <w:p w14:paraId="353F17EA" w14:textId="77777777" w:rsidR="00362906" w:rsidRPr="0073150D" w:rsidRDefault="00362906" w:rsidP="0036711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Schools:</w:t>
            </w:r>
          </w:p>
          <w:p w14:paraId="3C9359D6" w14:textId="4CCED145" w:rsidR="00367110" w:rsidRPr="0073150D" w:rsidRDefault="00367110" w:rsidP="00367110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St Chads School – School Capacity = 360 </w:t>
            </w:r>
          </w:p>
          <w:p w14:paraId="4A94ECCB" w14:textId="734F1988" w:rsidR="00367110" w:rsidRPr="0073150D" w:rsidRDefault="00367110" w:rsidP="00367110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>Number of current students 265</w:t>
            </w:r>
          </w:p>
          <w:p w14:paraId="23803802" w14:textId="77777777" w:rsidR="00362906" w:rsidRPr="0073150D" w:rsidRDefault="00362906" w:rsidP="00362906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High School Chesterton High School has capacity for 870 pupils and has 884 in attendance. </w:t>
            </w:r>
          </w:p>
          <w:p w14:paraId="353D5DA1" w14:textId="77777777" w:rsidR="00362906" w:rsidRPr="0073150D" w:rsidRDefault="00362906" w:rsidP="00362906">
            <w:pPr>
              <w:rPr>
                <w:rFonts w:ascii="Arial" w:hAnsi="Arial" w:cs="Arial"/>
                <w:sz w:val="24"/>
                <w:szCs w:val="24"/>
              </w:rPr>
            </w:pPr>
          </w:p>
          <w:p w14:paraId="71CA9571" w14:textId="77777777" w:rsidR="00362906" w:rsidRPr="0073150D" w:rsidRDefault="00362906" w:rsidP="00362906">
            <w:p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150D">
              <w:rPr>
                <w:rFonts w:ascii="Arial" w:hAnsi="Arial" w:cs="Arial"/>
                <w:sz w:val="24"/>
                <w:szCs w:val="24"/>
              </w:rPr>
              <w:t>However</w:t>
            </w:r>
            <w:proofErr w:type="gramEnd"/>
            <w:r w:rsidRPr="0073150D">
              <w:rPr>
                <w:rFonts w:ascii="Arial" w:hAnsi="Arial" w:cs="Arial"/>
                <w:sz w:val="24"/>
                <w:szCs w:val="24"/>
              </w:rPr>
              <w:t xml:space="preserve"> this is the only school in the areas of Red Street, Chesterton, </w:t>
            </w:r>
            <w:proofErr w:type="spellStart"/>
            <w:r w:rsidRPr="0073150D">
              <w:rPr>
                <w:rFonts w:ascii="Arial" w:hAnsi="Arial" w:cs="Arial"/>
                <w:sz w:val="24"/>
                <w:szCs w:val="24"/>
              </w:rPr>
              <w:t>Bignall</w:t>
            </w:r>
            <w:proofErr w:type="spellEnd"/>
            <w:r w:rsidRPr="0073150D">
              <w:rPr>
                <w:rFonts w:ascii="Arial" w:hAnsi="Arial" w:cs="Arial"/>
                <w:sz w:val="24"/>
                <w:szCs w:val="24"/>
              </w:rPr>
              <w:t xml:space="preserve"> End, Audley and Bradwell with this number of vacancies, therefore given the number of houses also proposed in outlying areas where are they proposing they will attend school. </w:t>
            </w:r>
          </w:p>
          <w:p w14:paraId="08042EB3" w14:textId="77777777" w:rsidR="00362906" w:rsidRPr="0073150D" w:rsidRDefault="00362906" w:rsidP="00367110">
            <w:pPr>
              <w:rPr>
                <w:rFonts w:ascii="Arial" w:hAnsi="Arial" w:cs="Arial"/>
                <w:sz w:val="24"/>
                <w:szCs w:val="24"/>
              </w:rPr>
            </w:pPr>
          </w:p>
          <w:p w14:paraId="1F8E38C8" w14:textId="2EE8139E" w:rsidR="00367110" w:rsidRPr="0073150D" w:rsidRDefault="00F00255" w:rsidP="0073150D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>Additional Children based on housing development 778 houses (50% homes having 1 child) = 389 children</w:t>
            </w:r>
            <w:r w:rsidR="00362906" w:rsidRPr="0073150D">
              <w:rPr>
                <w:rFonts w:ascii="Arial" w:hAnsi="Arial" w:cs="Arial"/>
                <w:sz w:val="24"/>
                <w:szCs w:val="24"/>
              </w:rPr>
              <w:t xml:space="preserve">. This is greatly more than is in the projections listed which state 292 children.  </w:t>
            </w:r>
          </w:p>
          <w:p w14:paraId="7B7769D8" w14:textId="77777777" w:rsidR="00362906" w:rsidRDefault="00362906" w:rsidP="002466C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26BF7087" w14:textId="77777777" w:rsidR="007D18AF" w:rsidRDefault="007D18AF" w:rsidP="002466C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  <w:p w14:paraId="4B21DD28" w14:textId="22731F96" w:rsidR="007D18AF" w:rsidRDefault="007D18AF" w:rsidP="002466CE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4842B18" w14:textId="77777777" w:rsidR="00367110" w:rsidRDefault="00606EB9" w:rsidP="003671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IN1</w:t>
            </w:r>
          </w:p>
          <w:p w14:paraId="6D2E32AD" w14:textId="65C579AA" w:rsidR="00F00255" w:rsidRDefault="00F00255" w:rsidP="003671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IN1</w:t>
            </w:r>
          </w:p>
        </w:tc>
        <w:tc>
          <w:tcPr>
            <w:tcW w:w="1763" w:type="dxa"/>
          </w:tcPr>
          <w:p w14:paraId="22BCFC01" w14:textId="77777777" w:rsidR="00367110" w:rsidRDefault="00606EB9" w:rsidP="003671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4e</w:t>
            </w:r>
          </w:p>
          <w:p w14:paraId="205B0D50" w14:textId="2A934383" w:rsidR="00F00255" w:rsidRDefault="00F00255" w:rsidP="00367110">
            <w:pPr>
              <w:pStyle w:val="List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11.1</w:t>
            </w:r>
          </w:p>
        </w:tc>
      </w:tr>
      <w:tr w:rsidR="006E20FE" w:rsidRPr="0073150D" w14:paraId="71299584" w14:textId="77777777" w:rsidTr="002466CE">
        <w:tc>
          <w:tcPr>
            <w:tcW w:w="6096" w:type="dxa"/>
          </w:tcPr>
          <w:p w14:paraId="7F04D2F6" w14:textId="18455391" w:rsidR="00362906" w:rsidRPr="0073150D" w:rsidRDefault="003D7CB3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Environmental impacts </w:t>
            </w:r>
            <w:r w:rsidR="00362906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A10FDF4" w14:textId="77777777" w:rsidR="00362906" w:rsidRPr="0073150D" w:rsidRDefault="00362906" w:rsidP="00362906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Sustainable Environment Policy </w:t>
            </w:r>
            <w:proofErr w:type="gramStart"/>
            <w:r w:rsidRPr="007315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For</w:t>
            </w:r>
            <w:proofErr w:type="gramEnd"/>
            <w:r w:rsidRPr="0073150D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 xml:space="preserve"> Newcastle Under Lyme: </w:t>
            </w:r>
          </w:p>
          <w:p w14:paraId="58EB6EAD" w14:textId="77777777" w:rsidR="00362906" w:rsidRPr="0073150D" w:rsidRDefault="00362906" w:rsidP="00362906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“A sustainable climate matters and it is not taking so much from our environments that future generations are negatively impacted”. </w:t>
            </w:r>
          </w:p>
          <w:p w14:paraId="5B01D869" w14:textId="77777777" w:rsidR="00362906" w:rsidRPr="0073150D" w:rsidRDefault="00362906" w:rsidP="003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Public rights of way through the land </w:t>
            </w:r>
          </w:p>
          <w:p w14:paraId="18020561" w14:textId="65E1713E" w:rsidR="00362906" w:rsidRPr="0073150D" w:rsidRDefault="00362906" w:rsidP="003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Open spaces promote wildlife in the </w:t>
            </w:r>
            <w:proofErr w:type="gramStart"/>
            <w:r w:rsidRPr="0073150D">
              <w:rPr>
                <w:rFonts w:ascii="Arial" w:hAnsi="Arial" w:cs="Arial"/>
                <w:sz w:val="24"/>
                <w:szCs w:val="24"/>
              </w:rPr>
              <w:t>area</w:t>
            </w:r>
            <w:proofErr w:type="gramEnd"/>
            <w:r w:rsidRPr="007315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6A70EA2" w14:textId="38D32A14" w:rsidR="00362906" w:rsidRPr="0073150D" w:rsidRDefault="00362906" w:rsidP="003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Natural wildlife includes: </w:t>
            </w:r>
          </w:p>
          <w:p w14:paraId="70D80DC2" w14:textId="2A07B3AB" w:rsidR="00362906" w:rsidRPr="0073150D" w:rsidRDefault="00362906" w:rsidP="00362906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Badgers, Wild Rabbits, Bats, Hedgehogs, Newts, frogs, field mice, butterflies, Foxes, red kites, woodpeckers</w:t>
            </w:r>
          </w:p>
          <w:p w14:paraId="2B94AE9C" w14:textId="61AAFBA6" w:rsidR="00362906" w:rsidRPr="0073150D" w:rsidRDefault="00362906" w:rsidP="003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Open spaces also promote mental well-being. Studies have documented consistently that green spaces lower levels of stress, rates of depression and anxiety and improve general wellbeing. </w:t>
            </w:r>
          </w:p>
          <w:p w14:paraId="222450C9" w14:textId="4ABB9F0F" w:rsidR="00362906" w:rsidRPr="0073150D" w:rsidRDefault="00362906" w:rsidP="003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73150D">
              <w:rPr>
                <w:rFonts w:ascii="Arial" w:hAnsi="Arial" w:cs="Arial"/>
                <w:sz w:val="24"/>
                <w:szCs w:val="24"/>
              </w:rPr>
              <w:t>Farm land</w:t>
            </w:r>
            <w:proofErr w:type="gramEnd"/>
            <w:r w:rsidRPr="0073150D">
              <w:rPr>
                <w:rFonts w:ascii="Arial" w:hAnsi="Arial" w:cs="Arial"/>
                <w:sz w:val="24"/>
                <w:szCs w:val="24"/>
              </w:rPr>
              <w:t xml:space="preserve"> for grazing which supplies the local butcher therefore a reduction in amenities in the area as there will be no farming. </w:t>
            </w:r>
          </w:p>
          <w:p w14:paraId="02E55310" w14:textId="0926C429" w:rsidR="00362906" w:rsidRPr="0073150D" w:rsidRDefault="00362906" w:rsidP="00362906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Farming needed to </w:t>
            </w:r>
            <w:r w:rsidR="0073150D" w:rsidRPr="0073150D">
              <w:rPr>
                <w:rFonts w:ascii="Arial" w:hAnsi="Arial" w:cs="Arial"/>
                <w:sz w:val="24"/>
                <w:szCs w:val="24"/>
              </w:rPr>
              <w:t>produce</w:t>
            </w:r>
            <w:r w:rsidRPr="0073150D">
              <w:rPr>
                <w:rFonts w:ascii="Arial" w:hAnsi="Arial" w:cs="Arial"/>
                <w:sz w:val="24"/>
                <w:szCs w:val="24"/>
              </w:rPr>
              <w:t xml:space="preserve"> food and be self sufficient and reduce the need for imports. </w:t>
            </w:r>
          </w:p>
          <w:p w14:paraId="663C0137" w14:textId="77777777" w:rsidR="00362906" w:rsidRPr="0073150D" w:rsidRDefault="00362906" w:rsidP="00362906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Signs of Climate Change: </w:t>
            </w:r>
          </w:p>
          <w:p w14:paraId="270795CA" w14:textId="5577BFB4" w:rsidR="00362906" w:rsidRPr="0073150D" w:rsidRDefault="00362906" w:rsidP="003629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>Wildfire on the monument site last year</w:t>
            </w:r>
          </w:p>
          <w:p w14:paraId="690A350E" w14:textId="77777777" w:rsidR="00362906" w:rsidRPr="0073150D" w:rsidRDefault="00362906" w:rsidP="003629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Increase in subsidence and sink </w:t>
            </w:r>
            <w:proofErr w:type="gramStart"/>
            <w:r w:rsidRPr="0073150D">
              <w:rPr>
                <w:rFonts w:ascii="Arial" w:hAnsi="Arial" w:cs="Arial"/>
                <w:sz w:val="24"/>
                <w:szCs w:val="24"/>
              </w:rPr>
              <w:t>holes</w:t>
            </w:r>
            <w:proofErr w:type="gramEnd"/>
          </w:p>
          <w:p w14:paraId="7152592A" w14:textId="7091096A" w:rsidR="00367110" w:rsidRPr="0073150D" w:rsidRDefault="00367110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2C6E0465" w14:textId="4E5F9EA8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SE1</w:t>
            </w:r>
          </w:p>
          <w:p w14:paraId="32E384C3" w14:textId="377D4878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SE2</w:t>
            </w:r>
          </w:p>
          <w:p w14:paraId="7F338662" w14:textId="13AB6F8F" w:rsidR="00367110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SE5</w:t>
            </w:r>
          </w:p>
        </w:tc>
        <w:tc>
          <w:tcPr>
            <w:tcW w:w="1763" w:type="dxa"/>
          </w:tcPr>
          <w:p w14:paraId="1DA89B9F" w14:textId="23306F6E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1g</w:t>
            </w:r>
          </w:p>
          <w:p w14:paraId="50F59D20" w14:textId="7932DF77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12.15</w:t>
            </w:r>
          </w:p>
          <w:p w14:paraId="76B74D9E" w14:textId="2FB3CE8B" w:rsidR="00367110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 / 3b/ 3c 7 / 9 </w:t>
            </w:r>
          </w:p>
        </w:tc>
      </w:tr>
      <w:tr w:rsidR="006E20FE" w:rsidRPr="0073150D" w14:paraId="5FF03263" w14:textId="77777777" w:rsidTr="002466CE">
        <w:tc>
          <w:tcPr>
            <w:tcW w:w="6096" w:type="dxa"/>
          </w:tcPr>
          <w:p w14:paraId="762A9925" w14:textId="57DECD9E" w:rsidR="00367110" w:rsidRPr="0064569B" w:rsidRDefault="003D7CB3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lastRenderedPageBreak/>
              <w:t xml:space="preserve">Conservation – CT1 and TK30 are Greenbelt </w:t>
            </w:r>
            <w:proofErr w:type="gramStart"/>
            <w:r w:rsidRPr="0064569B">
              <w:rPr>
                <w:rFonts w:ascii="Arial" w:hAnsi="Arial" w:cs="Arial"/>
                <w:sz w:val="24"/>
                <w:szCs w:val="24"/>
              </w:rPr>
              <w:t>Land  -</w:t>
            </w:r>
            <w:proofErr w:type="gramEnd"/>
            <w:r w:rsidRPr="0064569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F2900" w:rsidRPr="0064569B">
              <w:rPr>
                <w:rFonts w:ascii="Arial" w:hAnsi="Arial" w:cs="Arial"/>
                <w:sz w:val="24"/>
                <w:szCs w:val="24"/>
              </w:rPr>
              <w:t xml:space="preserve">Brownfield Land </w:t>
            </w:r>
            <w:r w:rsidR="0049728D" w:rsidRPr="0064569B">
              <w:rPr>
                <w:rFonts w:ascii="Arial" w:hAnsi="Arial" w:cs="Arial"/>
                <w:sz w:val="24"/>
                <w:szCs w:val="24"/>
              </w:rPr>
              <w:t xml:space="preserve">Currently </w:t>
            </w:r>
            <w:r w:rsidR="002F2900" w:rsidRPr="0064569B">
              <w:rPr>
                <w:rFonts w:ascii="Arial" w:hAnsi="Arial" w:cs="Arial"/>
                <w:sz w:val="24"/>
                <w:szCs w:val="24"/>
              </w:rPr>
              <w:t xml:space="preserve">Available in Newcastle under Lyme </w:t>
            </w:r>
            <w:r w:rsidRPr="0064569B">
              <w:rPr>
                <w:rFonts w:ascii="Arial" w:hAnsi="Arial" w:cs="Arial"/>
                <w:sz w:val="24"/>
                <w:szCs w:val="24"/>
              </w:rPr>
              <w:t>73.82 Hectares</w:t>
            </w:r>
          </w:p>
          <w:p w14:paraId="4653F129" w14:textId="77777777" w:rsidR="00362906" w:rsidRPr="0064569B" w:rsidRDefault="00362906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01499F0" w14:textId="7220DB46" w:rsidR="00362906" w:rsidRPr="0064569B" w:rsidRDefault="00362906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t xml:space="preserve">Keeping Greenbelt Land/agricultural land assists with climate change and our carbon footprint. </w:t>
            </w:r>
          </w:p>
          <w:p w14:paraId="79097703" w14:textId="77777777" w:rsidR="00362906" w:rsidRPr="0064569B" w:rsidRDefault="00362906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3CFFDD70" w14:textId="156711A9" w:rsidR="00362906" w:rsidRPr="0064569B" w:rsidRDefault="00362906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t xml:space="preserve">Council should consider </w:t>
            </w:r>
            <w:proofErr w:type="gramStart"/>
            <w:r w:rsidRPr="0064569B">
              <w:rPr>
                <w:rFonts w:ascii="Arial" w:hAnsi="Arial" w:cs="Arial"/>
                <w:sz w:val="24"/>
                <w:szCs w:val="24"/>
              </w:rPr>
              <w:t>to force</w:t>
            </w:r>
            <w:proofErr w:type="gramEnd"/>
            <w:r w:rsidRPr="0064569B">
              <w:rPr>
                <w:rFonts w:ascii="Arial" w:hAnsi="Arial" w:cs="Arial"/>
                <w:sz w:val="24"/>
                <w:szCs w:val="24"/>
              </w:rPr>
              <w:t xml:space="preserve"> or compulsory purchase the land that has started development and not completed. These need to be utilised first before using greenbelt. Such as the flats in Newcastle, footings in Chesterton. </w:t>
            </w:r>
          </w:p>
          <w:p w14:paraId="46C64465" w14:textId="77777777" w:rsidR="002466CE" w:rsidRPr="0064569B" w:rsidRDefault="002466CE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8A76DAF" w14:textId="35DF22E8" w:rsidR="002466CE" w:rsidRPr="0064569B" w:rsidRDefault="002466CE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t xml:space="preserve">According to the Newcastle Under Lyme Housing Strategy there are 727 empty houses in the area. </w:t>
            </w:r>
          </w:p>
          <w:p w14:paraId="30D4A9C3" w14:textId="77777777" w:rsidR="00362906" w:rsidRPr="0064569B" w:rsidRDefault="00362906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70FBD6D" w14:textId="6D7AB622" w:rsidR="00362906" w:rsidRPr="0064569B" w:rsidRDefault="00362906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t xml:space="preserve">Green belt special circumstances states 8:3 accessibility by public transport- service is being reduced in the area and no late evening/night service. </w:t>
            </w:r>
          </w:p>
          <w:p w14:paraId="499CFBB2" w14:textId="77777777" w:rsidR="0037195E" w:rsidRPr="0064569B" w:rsidRDefault="0037195E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CD175D3" w14:textId="77777777" w:rsidR="007D18AF" w:rsidRDefault="0064569B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t xml:space="preserve">Conspicuous large scale urban extensions are a significant adverse effect of the developments and </w:t>
            </w:r>
          </w:p>
          <w:p w14:paraId="20379A0A" w14:textId="77777777" w:rsidR="0073150D" w:rsidRDefault="0064569B" w:rsidP="00367110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64569B">
              <w:rPr>
                <w:rFonts w:ascii="Arial" w:hAnsi="Arial" w:cs="Arial"/>
                <w:sz w:val="24"/>
                <w:szCs w:val="24"/>
              </w:rPr>
              <w:t>lose the village feel to join with adjacent villages.</w:t>
            </w:r>
          </w:p>
          <w:p w14:paraId="4BF41483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523A591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A5C8E52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5E37F37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359D12D" w14:textId="439BD06F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BA9EAB" w14:textId="72F269C1" w:rsidR="00367110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(TK</w:t>
            </w:r>
            <w:proofErr w:type="gramStart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30)SE</w:t>
            </w:r>
            <w:proofErr w:type="gramEnd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63" w:type="dxa"/>
          </w:tcPr>
          <w:p w14:paraId="1D65A824" w14:textId="576A9846" w:rsidR="00B722F6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5 / 12.25/ 12.31</w:t>
            </w:r>
          </w:p>
        </w:tc>
      </w:tr>
      <w:tr w:rsidR="006E20FE" w:rsidRPr="0073150D" w14:paraId="62C03E72" w14:textId="77777777" w:rsidTr="002466CE">
        <w:tc>
          <w:tcPr>
            <w:tcW w:w="6096" w:type="dxa"/>
          </w:tcPr>
          <w:p w14:paraId="0F7B9344" w14:textId="6094E651" w:rsidR="00367110" w:rsidRPr="0073150D" w:rsidRDefault="003D7CB3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Road Safety 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– access proposed onto the A34 – this is a dual carriage way heading into a junction between the A500 and A34 – additional access point will produce a bo</w:t>
            </w:r>
            <w:r w:rsidR="00606EB9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 neck onto the roundabout heading north – additional access would be required for southbound </w:t>
            </w:r>
            <w:r w:rsidR="00000F10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commuters </w:t>
            </w:r>
            <w:r w:rsidR="0049728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–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Red</w:t>
            </w:r>
            <w:r w:rsidR="0049728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treet roads such as bells hollow </w:t>
            </w:r>
            <w:proofErr w:type="gramStart"/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single track</w:t>
            </w:r>
            <w:proofErr w:type="gramEnd"/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lane, </w:t>
            </w:r>
            <w:proofErr w:type="spellStart"/>
            <w:r w:rsidR="00606EB9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alke</w:t>
            </w:r>
            <w:proofErr w:type="spellEnd"/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road, Liverpool road, Shrewsbury drive are narrow with no crossing points </w:t>
            </w:r>
          </w:p>
          <w:p w14:paraId="2660698C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1ADB828" w14:textId="77777777" w:rsidR="002466CE" w:rsidRPr="0073150D" w:rsidRDefault="002466CE" w:rsidP="002466CE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Promoting use of public transport links: </w:t>
            </w:r>
          </w:p>
          <w:p w14:paraId="107EC9ED" w14:textId="77777777" w:rsidR="002466CE" w:rsidRDefault="002466CE" w:rsidP="002466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It has been well documented that bus links </w:t>
            </w:r>
            <w:proofErr w:type="gramStart"/>
            <w:r w:rsidRPr="0073150D">
              <w:rPr>
                <w:rFonts w:ascii="Arial" w:hAnsi="Arial" w:cs="Arial"/>
                <w:sz w:val="24"/>
                <w:szCs w:val="24"/>
              </w:rPr>
              <w:t>in the area of</w:t>
            </w:r>
            <w:proofErr w:type="gramEnd"/>
            <w:r w:rsidRPr="0073150D">
              <w:rPr>
                <w:rFonts w:ascii="Arial" w:hAnsi="Arial" w:cs="Arial"/>
                <w:sz w:val="24"/>
                <w:szCs w:val="24"/>
              </w:rPr>
              <w:t xml:space="preserve"> being reduced. </w:t>
            </w:r>
          </w:p>
          <w:p w14:paraId="73F5C06B" w14:textId="77777777" w:rsidR="0064569B" w:rsidRPr="0064569B" w:rsidRDefault="0064569B" w:rsidP="0064569B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</w:p>
          <w:p w14:paraId="1FCB349A" w14:textId="77777777" w:rsidR="002466CE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5727D8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882F647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8AF5BE3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084804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717C78F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911FAC7" w14:textId="77777777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C9DA7B" w14:textId="5314CBCF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E1D44" w14:textId="77777777" w:rsidR="00367110" w:rsidRPr="0073150D" w:rsidRDefault="00606EB9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IN1</w:t>
            </w:r>
          </w:p>
          <w:p w14:paraId="7CB6CF44" w14:textId="77777777" w:rsidR="00F00255" w:rsidRPr="0073150D" w:rsidRDefault="00F0025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550B01E" w14:textId="77777777" w:rsidR="00F00255" w:rsidRDefault="00F0025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IN2</w:t>
            </w:r>
          </w:p>
          <w:p w14:paraId="736B59D6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EF1C49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C0F578B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BD1CA01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6CF6459" w14:textId="6C57271D" w:rsidR="0026314A" w:rsidRPr="0073150D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HOU2</w:t>
            </w:r>
          </w:p>
        </w:tc>
        <w:tc>
          <w:tcPr>
            <w:tcW w:w="1763" w:type="dxa"/>
          </w:tcPr>
          <w:p w14:paraId="25CD1FE5" w14:textId="77777777" w:rsidR="00367110" w:rsidRPr="0073150D" w:rsidRDefault="00606EB9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4b</w:t>
            </w:r>
          </w:p>
          <w:p w14:paraId="38BFAEE2" w14:textId="77777777" w:rsidR="00F00255" w:rsidRPr="0073150D" w:rsidRDefault="00F0025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15D102" w14:textId="77777777" w:rsidR="00F00255" w:rsidRDefault="0049728D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1/1d/</w:t>
            </w:r>
            <w:r w:rsidR="0037195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1e/ 2a/4b/</w:t>
            </w:r>
            <w:r w:rsidR="0026314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00255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.7 / </w:t>
            </w:r>
            <w:r w:rsidR="0026314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00255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.8 / </w:t>
            </w:r>
            <w:r w:rsidR="0026314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F00255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.12</w:t>
            </w:r>
          </w:p>
          <w:p w14:paraId="75C07224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283696B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D495EA1" w14:textId="5EDAF694" w:rsidR="0026314A" w:rsidRPr="0073150D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8.11</w:t>
            </w:r>
          </w:p>
        </w:tc>
      </w:tr>
      <w:tr w:rsidR="003D7CB3" w:rsidRPr="0073150D" w14:paraId="4302027E" w14:textId="77777777" w:rsidTr="002466CE">
        <w:tc>
          <w:tcPr>
            <w:tcW w:w="6096" w:type="dxa"/>
          </w:tcPr>
          <w:p w14:paraId="057559C2" w14:textId="77777777" w:rsidR="003D7CB3" w:rsidRPr="0073150D" w:rsidRDefault="003D7CB3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Traffic / Pollution</w:t>
            </w:r>
          </w:p>
          <w:p w14:paraId="690652AA" w14:textId="77777777" w:rsidR="003D7CB3" w:rsidRPr="0073150D" w:rsidRDefault="003D7CB3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fossil </w:t>
            </w:r>
            <w:r w:rsidR="00EE499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fuelled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 creates 17 tonnes of CO2e in its life span – if each of the 778 proposed households has 1 car that’s </w:t>
            </w:r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an additional 13,226 tonnes of CO2e – if each household has 2 cars that’s 26,452 tonnes of </w:t>
            </w:r>
            <w:proofErr w:type="gramStart"/>
            <w:r w:rsidR="006E20FE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CO2e</w:t>
            </w:r>
            <w:proofErr w:type="gramEnd"/>
          </w:p>
          <w:p w14:paraId="0B917E26" w14:textId="77777777" w:rsidR="00362906" w:rsidRPr="0073150D" w:rsidRDefault="0036290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A3BB87D" w14:textId="77777777" w:rsidR="00362906" w:rsidRPr="0073150D" w:rsidRDefault="00362906" w:rsidP="00362906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Removal of hedges and trees which promote Co2 absorption and reduce pollution levels which will increase with the proposal with building works and increased houses/cars in the locality. </w:t>
            </w:r>
          </w:p>
          <w:p w14:paraId="6B153215" w14:textId="77777777" w:rsidR="002466CE" w:rsidRPr="0073150D" w:rsidRDefault="002466CE" w:rsidP="002466CE">
            <w:p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Promoting use of public transport links: </w:t>
            </w:r>
          </w:p>
          <w:p w14:paraId="272F372F" w14:textId="77777777" w:rsidR="002466CE" w:rsidRPr="0073150D" w:rsidRDefault="002466CE" w:rsidP="002466C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It has been well documented that bus links </w:t>
            </w:r>
            <w:proofErr w:type="gramStart"/>
            <w:r w:rsidRPr="0073150D">
              <w:rPr>
                <w:rFonts w:ascii="Arial" w:hAnsi="Arial" w:cs="Arial"/>
                <w:sz w:val="24"/>
                <w:szCs w:val="24"/>
              </w:rPr>
              <w:t>in the area of</w:t>
            </w:r>
            <w:proofErr w:type="gramEnd"/>
            <w:r w:rsidRPr="0073150D">
              <w:rPr>
                <w:rFonts w:ascii="Arial" w:hAnsi="Arial" w:cs="Arial"/>
                <w:sz w:val="24"/>
                <w:szCs w:val="24"/>
              </w:rPr>
              <w:t xml:space="preserve"> being reduced. </w:t>
            </w:r>
          </w:p>
          <w:p w14:paraId="2FAF7C2E" w14:textId="77777777" w:rsidR="00362906" w:rsidRPr="0073150D" w:rsidRDefault="0036290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A6E44BC" w14:textId="77777777" w:rsidR="0037195E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598F765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FC291A1" w14:textId="243D8BBA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DE7F95" w14:textId="77777777" w:rsidR="00F00255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Traffic = </w:t>
            </w:r>
          </w:p>
          <w:p w14:paraId="00C75D4B" w14:textId="0C1FDFEF" w:rsidR="003D7CB3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HOU 2</w:t>
            </w:r>
          </w:p>
          <w:p w14:paraId="7C277649" w14:textId="77777777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8DA188E" w14:textId="43C51E48" w:rsidR="00F00255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Pollution = </w:t>
            </w:r>
          </w:p>
          <w:p w14:paraId="13E02B0A" w14:textId="77777777" w:rsidR="00C31E3E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SE3</w:t>
            </w:r>
          </w:p>
          <w:p w14:paraId="19DFDDE0" w14:textId="77777777" w:rsidR="00000F10" w:rsidRPr="0073150D" w:rsidRDefault="00000F10" w:rsidP="00000F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SE1</w:t>
            </w:r>
          </w:p>
          <w:p w14:paraId="1659BF75" w14:textId="27AB5FEC" w:rsidR="00000F10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IN2</w:t>
            </w:r>
          </w:p>
        </w:tc>
        <w:tc>
          <w:tcPr>
            <w:tcW w:w="1763" w:type="dxa"/>
          </w:tcPr>
          <w:p w14:paraId="488F0698" w14:textId="77777777" w:rsidR="00F00255" w:rsidRPr="0073150D" w:rsidRDefault="00F0025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48F1742" w14:textId="1BD153F8" w:rsidR="003D7CB3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8.9</w:t>
            </w:r>
          </w:p>
          <w:p w14:paraId="37F2250A" w14:textId="77777777" w:rsidR="00000F10" w:rsidRPr="0073150D" w:rsidRDefault="00000F10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3DD8DF7" w14:textId="77777777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C2AFF4C" w14:textId="6EDD5F26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12.15</w:t>
            </w:r>
          </w:p>
          <w:p w14:paraId="26247EDC" w14:textId="627ACD83" w:rsidR="00F00255" w:rsidRPr="0073150D" w:rsidRDefault="00F0025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12.1/12.3</w:t>
            </w:r>
            <w:r w:rsidR="00000F10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/12.7</w:t>
            </w:r>
          </w:p>
          <w:p w14:paraId="0C12A99F" w14:textId="76729172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11.7</w:t>
            </w:r>
          </w:p>
        </w:tc>
      </w:tr>
      <w:tr w:rsidR="006E20FE" w:rsidRPr="0073150D" w14:paraId="0942B19E" w14:textId="77777777" w:rsidTr="002466CE">
        <w:tc>
          <w:tcPr>
            <w:tcW w:w="6096" w:type="dxa"/>
          </w:tcPr>
          <w:p w14:paraId="7B1837C1" w14:textId="77777777" w:rsidR="00367110" w:rsidRPr="0073150D" w:rsidRDefault="003D7CB3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Infrastructure / Amenities 1x Pub 1x Community Centre 1x Butchers/ shop </w:t>
            </w:r>
          </w:p>
          <w:p w14:paraId="5A66D332" w14:textId="77777777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4ABF9A" w14:textId="77777777" w:rsidR="002466CE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FD355D4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289434" w14:textId="182F58FE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6934789" w14:textId="77777777" w:rsidR="00367110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HOU 2</w:t>
            </w:r>
          </w:p>
          <w:p w14:paraId="23CA3AE0" w14:textId="10B86941" w:rsidR="00C31E3E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EMP 1</w:t>
            </w:r>
          </w:p>
        </w:tc>
        <w:tc>
          <w:tcPr>
            <w:tcW w:w="1763" w:type="dxa"/>
          </w:tcPr>
          <w:p w14:paraId="44C17616" w14:textId="7F8E7E78" w:rsidR="00367110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8.11/8.5</w:t>
            </w:r>
          </w:p>
          <w:p w14:paraId="20416EC1" w14:textId="49FC1423" w:rsidR="00C31E3E" w:rsidRPr="0073150D" w:rsidRDefault="00C31E3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9.6 / 9.7</w:t>
            </w:r>
          </w:p>
        </w:tc>
      </w:tr>
      <w:tr w:rsidR="006E20FE" w:rsidRPr="0073150D" w14:paraId="4F3AD421" w14:textId="77777777" w:rsidTr="002466CE">
        <w:tc>
          <w:tcPr>
            <w:tcW w:w="6096" w:type="dxa"/>
          </w:tcPr>
          <w:p w14:paraId="365088AD" w14:textId="77777777" w:rsidR="00367110" w:rsidRPr="0073150D" w:rsidRDefault="003D7CB3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Doctors / healthcare</w:t>
            </w:r>
          </w:p>
          <w:p w14:paraId="47CBAF92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C1B54D8" w14:textId="77777777" w:rsidR="002466CE" w:rsidRPr="0073150D" w:rsidRDefault="002466CE" w:rsidP="002466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GP’s: </w:t>
            </w:r>
          </w:p>
          <w:p w14:paraId="6F92D661" w14:textId="77777777" w:rsidR="002466CE" w:rsidRPr="0073150D" w:rsidRDefault="002466CE" w:rsidP="002466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There are 4 local surgeries, all with proposed increasing in housing in the localities, therefore the already significant wait for non-urgent appointments will be significantly stretched. </w:t>
            </w:r>
          </w:p>
          <w:p w14:paraId="6F374770" w14:textId="77777777" w:rsidR="002466CE" w:rsidRPr="0073150D" w:rsidRDefault="002466CE" w:rsidP="002466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6BC8BCC" w14:textId="77777777" w:rsidR="002466CE" w:rsidRPr="0073150D" w:rsidRDefault="002466CE" w:rsidP="002466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Dentist: </w:t>
            </w:r>
          </w:p>
          <w:p w14:paraId="7A4BF18A" w14:textId="77777777" w:rsidR="002466CE" w:rsidRPr="0073150D" w:rsidRDefault="002466CE" w:rsidP="002466CE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According to find an NHS dentist- nearest taking NHS patients is Manchester. </w:t>
            </w:r>
          </w:p>
          <w:p w14:paraId="28735E08" w14:textId="77777777" w:rsidR="002466CE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4576E76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F2072EB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A4A328" w14:textId="0A3D029F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1B9300E2" w14:textId="77777777" w:rsidR="00367110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HOU 2</w:t>
            </w:r>
          </w:p>
          <w:p w14:paraId="343E6E60" w14:textId="77777777" w:rsidR="00B722F6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HOU 3 </w:t>
            </w:r>
          </w:p>
          <w:p w14:paraId="6D142E8A" w14:textId="4E255ED8" w:rsidR="00606EB9" w:rsidRPr="0073150D" w:rsidRDefault="00606EB9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IN1</w:t>
            </w:r>
          </w:p>
        </w:tc>
        <w:tc>
          <w:tcPr>
            <w:tcW w:w="1763" w:type="dxa"/>
          </w:tcPr>
          <w:p w14:paraId="7F4A0A62" w14:textId="77777777" w:rsidR="00B722F6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7 b + c</w:t>
            </w:r>
          </w:p>
          <w:p w14:paraId="481F2581" w14:textId="77777777" w:rsidR="00606EB9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3 (Gypsies)</w:t>
            </w:r>
          </w:p>
          <w:p w14:paraId="3A4A4B62" w14:textId="1888BAE1" w:rsidR="00367110" w:rsidRPr="0073150D" w:rsidRDefault="00606EB9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4f / 11.1</w:t>
            </w:r>
            <w:r w:rsidR="00B722F6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6E20FE" w:rsidRPr="0073150D" w14:paraId="5E9AA783" w14:textId="77777777" w:rsidTr="002466CE">
        <w:tc>
          <w:tcPr>
            <w:tcW w:w="6096" w:type="dxa"/>
          </w:tcPr>
          <w:p w14:paraId="4047D3A0" w14:textId="77777777" w:rsidR="00367110" w:rsidRPr="0073150D" w:rsidRDefault="00B722F6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Conservation – Red Street Monument </w:t>
            </w:r>
            <w:r w:rsidR="00715115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(TK30 site)</w:t>
            </w:r>
          </w:p>
          <w:p w14:paraId="6D117421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EE1779F" w14:textId="77777777" w:rsidR="002466CE" w:rsidRPr="0073150D" w:rsidRDefault="002466CE" w:rsidP="002466C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73150D">
              <w:rPr>
                <w:rFonts w:ascii="Arial" w:hAnsi="Arial" w:cs="Arial"/>
                <w:sz w:val="24"/>
                <w:szCs w:val="24"/>
              </w:rPr>
              <w:t xml:space="preserve">Integrity of the area with historic significance with the Wedgewood Monument, </w:t>
            </w:r>
            <w:proofErr w:type="spellStart"/>
            <w:r w:rsidRPr="0073150D">
              <w:rPr>
                <w:rFonts w:ascii="Arial" w:hAnsi="Arial" w:cs="Arial"/>
                <w:sz w:val="24"/>
                <w:szCs w:val="24"/>
              </w:rPr>
              <w:t>Diglake</w:t>
            </w:r>
            <w:proofErr w:type="spellEnd"/>
            <w:r w:rsidRPr="0073150D">
              <w:rPr>
                <w:rFonts w:ascii="Arial" w:hAnsi="Arial" w:cs="Arial"/>
                <w:sz w:val="24"/>
                <w:szCs w:val="24"/>
              </w:rPr>
              <w:t xml:space="preserve"> Disaster where 78 people died in a mining accident 125 years ago and a memorial stands in Audley to mark it). </w:t>
            </w:r>
          </w:p>
          <w:p w14:paraId="2836F1A8" w14:textId="77777777" w:rsidR="002466CE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756EE85" w14:textId="77777777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EE8D48D" w14:textId="325DAA90" w:rsidR="0037195E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407F671D" w14:textId="77777777" w:rsidR="00367110" w:rsidRPr="0073150D" w:rsidRDefault="0071511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SE06</w:t>
            </w:r>
          </w:p>
          <w:p w14:paraId="652EE18A" w14:textId="2298CF82" w:rsidR="00715115" w:rsidRPr="0073150D" w:rsidRDefault="0071511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SE07</w:t>
            </w:r>
          </w:p>
        </w:tc>
        <w:tc>
          <w:tcPr>
            <w:tcW w:w="1763" w:type="dxa"/>
          </w:tcPr>
          <w:p w14:paraId="2CB2D770" w14:textId="77777777" w:rsidR="00367110" w:rsidRPr="0073150D" w:rsidRDefault="00715115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12.37</w:t>
            </w:r>
          </w:p>
          <w:p w14:paraId="528F4D70" w14:textId="16252F7D" w:rsidR="00715115" w:rsidRPr="0073150D" w:rsidRDefault="0037195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12.40</w:t>
            </w:r>
          </w:p>
        </w:tc>
      </w:tr>
      <w:tr w:rsidR="002466CE" w:rsidRPr="0073150D" w14:paraId="5B7D77B0" w14:textId="77777777" w:rsidTr="002466CE">
        <w:tc>
          <w:tcPr>
            <w:tcW w:w="6096" w:type="dxa"/>
          </w:tcPr>
          <w:p w14:paraId="56515E0F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Populations Figures:</w:t>
            </w:r>
          </w:p>
          <w:p w14:paraId="26DAD3D5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A0C2EE4" w14:textId="77777777" w:rsidR="002466CE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Are declining and has been over a period as reflected in the censure from 2011 </w:t>
            </w:r>
            <w:proofErr w:type="gramStart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and  2021</w:t>
            </w:r>
            <w:proofErr w:type="gramEnd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. ONS stats confirmed that the population is continuing to decline with Newcastle Under Lyme’s Housing Strategy</w:t>
            </w:r>
            <w:r w:rsidR="0073150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which breaks this down demographically to show that we have an above average elderly population who need appropriate accommodation that is not reflected in the proposals of 2,3 and 4 bed properties. </w:t>
            </w:r>
            <w:proofErr w:type="gramStart"/>
            <w:r w:rsidR="0073150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Therefore</w:t>
            </w:r>
            <w:proofErr w:type="gramEnd"/>
            <w:r w:rsidR="0073150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if housing policy is to be led by the needs of the community the local plan does not reflect this.  It also shows that where there is a greater need is for single occupancy which they have begun to address though </w:t>
            </w:r>
            <w:proofErr w:type="gramStart"/>
            <w:r w:rsidR="0073150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HMO’s</w:t>
            </w:r>
            <w:proofErr w:type="gramEnd"/>
            <w:r w:rsidR="0073150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of which they have invested in 193 housing 1197 residents most of which are students. </w:t>
            </w:r>
          </w:p>
          <w:p w14:paraId="697F96A5" w14:textId="5E00A62F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C316B9" w14:textId="542E1BCB" w:rsidR="002466CE" w:rsidRPr="0073150D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HOU2</w:t>
            </w:r>
          </w:p>
        </w:tc>
        <w:tc>
          <w:tcPr>
            <w:tcW w:w="1763" w:type="dxa"/>
          </w:tcPr>
          <w:p w14:paraId="7D4BAECA" w14:textId="5CE599B1" w:rsidR="002466CE" w:rsidRPr="0073150D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3a / 8.18</w:t>
            </w:r>
          </w:p>
        </w:tc>
      </w:tr>
      <w:tr w:rsidR="002466CE" w:rsidRPr="0073150D" w14:paraId="566DA967" w14:textId="77777777" w:rsidTr="002466CE">
        <w:tc>
          <w:tcPr>
            <w:tcW w:w="6096" w:type="dxa"/>
          </w:tcPr>
          <w:p w14:paraId="1447367F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Local Economy</w:t>
            </w:r>
          </w:p>
          <w:p w14:paraId="748AE9D3" w14:textId="2696AB8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In 2020 the Newcastle Borough Housing Published that:</w:t>
            </w:r>
          </w:p>
          <w:p w14:paraId="37D28500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Gross weekly pay is </w:t>
            </w:r>
            <w:proofErr w:type="gramStart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£535.10</w:t>
            </w:r>
            <w:proofErr w:type="gramEnd"/>
          </w:p>
          <w:p w14:paraId="455B0433" w14:textId="77777777" w:rsidR="002466CE" w:rsidRPr="0073150D" w:rsidRDefault="002466CE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house price </w:t>
            </w:r>
            <w:r w:rsidR="0073150D"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£159.059</w:t>
            </w:r>
          </w:p>
          <w:p w14:paraId="2D65BF7D" w14:textId="77777777" w:rsidR="0073150D" w:rsidRPr="0073150D" w:rsidRDefault="0073150D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Average monthly rent £590. </w:t>
            </w:r>
          </w:p>
          <w:p w14:paraId="087A4ADF" w14:textId="77777777" w:rsidR="0073150D" w:rsidRPr="0073150D" w:rsidRDefault="0073150D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This </w:t>
            </w:r>
            <w:proofErr w:type="gramStart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>continue</w:t>
            </w:r>
            <w:proofErr w:type="gramEnd"/>
            <w:r w:rsidRPr="0073150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to increase with cost of living crisis. </w:t>
            </w:r>
          </w:p>
          <w:p w14:paraId="7CC36D01" w14:textId="77777777" w:rsidR="0073150D" w:rsidRPr="0073150D" w:rsidRDefault="0073150D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B1B6A9F" w14:textId="77777777" w:rsidR="0073150D" w:rsidRPr="0073150D" w:rsidRDefault="0073150D" w:rsidP="0073150D">
            <w:pPr>
              <w:shd w:val="clear" w:color="auto" w:fill="FFFFFF"/>
              <w:spacing w:before="100" w:beforeAutospacing="1" w:after="100" w:afterAutospacing="1"/>
              <w:outlineLvl w:val="2"/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50D">
              <w:rPr>
                <w:rFonts w:ascii="Arial" w:eastAsia="Times New Roman" w:hAnsi="Arial" w:cs="Arial"/>
                <w:b/>
                <w:bCs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Housing needs</w:t>
            </w:r>
          </w:p>
          <w:p w14:paraId="05D605B8" w14:textId="77777777" w:rsidR="0073150D" w:rsidRPr="0073150D" w:rsidRDefault="0073150D" w:rsidP="0064569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50D"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Estimated that:</w:t>
            </w:r>
          </w:p>
          <w:p w14:paraId="7EA620E8" w14:textId="4B92AB37" w:rsidR="0073150D" w:rsidRPr="0073150D" w:rsidRDefault="0073150D" w:rsidP="0064569B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50D"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4% of households within the borough are unable to afford a market rented property.</w:t>
            </w:r>
          </w:p>
          <w:p w14:paraId="464965E8" w14:textId="77777777" w:rsidR="0073150D" w:rsidRPr="0073150D" w:rsidRDefault="0073150D" w:rsidP="0064569B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50D"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22% are unable to purchase from the open </w:t>
            </w:r>
            <w:proofErr w:type="gramStart"/>
            <w:r w:rsidRPr="0073150D"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market</w:t>
            </w:r>
            <w:proofErr w:type="gramEnd"/>
          </w:p>
          <w:p w14:paraId="08D7586A" w14:textId="77777777" w:rsidR="0073150D" w:rsidRDefault="0073150D" w:rsidP="0064569B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50D"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there is a net need for affordable housing (rented housing)</w:t>
            </w:r>
          </w:p>
          <w:p w14:paraId="6C4EFE69" w14:textId="149F46A1" w:rsidR="0064569B" w:rsidRPr="0073150D" w:rsidRDefault="0064569B" w:rsidP="0064569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gramStart"/>
            <w:r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Therefore</w:t>
            </w:r>
            <w:proofErr w:type="gramEnd"/>
            <w:r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 xml:space="preserve"> how are we providing affordable housing is a ¼ of the population can not afford them. </w:t>
            </w:r>
          </w:p>
          <w:p w14:paraId="4581F006" w14:textId="592317A7" w:rsidR="007D18AF" w:rsidRPr="0073150D" w:rsidRDefault="0073150D" w:rsidP="0064569B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</w:pPr>
            <w:r w:rsidRPr="0073150D">
              <w:rPr>
                <w:rFonts w:ascii="Arial" w:eastAsia="Times New Roman" w:hAnsi="Arial" w:cs="Arial"/>
                <w:color w:val="242424"/>
                <w:kern w:val="0"/>
                <w:sz w:val="24"/>
                <w:szCs w:val="24"/>
                <w:lang w:eastAsia="en-GB"/>
                <w14:ligatures w14:val="none"/>
              </w:rPr>
              <w:t>In 2019, 8,873 units of general needs housing were managed by RSL Properties Ltd as well as 124 units of supported housing.</w:t>
            </w:r>
          </w:p>
          <w:p w14:paraId="78FC0FF8" w14:textId="36FA49F1" w:rsidR="0073150D" w:rsidRPr="0073150D" w:rsidRDefault="0073150D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14:paraId="3DF3D226" w14:textId="77777777" w:rsidR="002466CE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HOU1</w:t>
            </w:r>
          </w:p>
          <w:p w14:paraId="045D1F5F" w14:textId="77777777" w:rsidR="007D18AF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8FD90EE" w14:textId="1ABE0554" w:rsidR="007D18AF" w:rsidRPr="0073150D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HOU1</w:t>
            </w:r>
          </w:p>
        </w:tc>
        <w:tc>
          <w:tcPr>
            <w:tcW w:w="1763" w:type="dxa"/>
          </w:tcPr>
          <w:p w14:paraId="305BC0B9" w14:textId="77777777" w:rsidR="002466CE" w:rsidRDefault="007D18AF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1a/1b/1c</w:t>
            </w:r>
          </w:p>
          <w:p w14:paraId="7387639B" w14:textId="77777777" w:rsidR="0026314A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32ADF3C5" w14:textId="6C587BF0" w:rsidR="0026314A" w:rsidRPr="0073150D" w:rsidRDefault="0026314A" w:rsidP="00367110">
            <w:pPr>
              <w:pStyle w:val="ListParagraph"/>
              <w:ind w:left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8.1/ 8.2/ 8.3/ 8.5</w:t>
            </w:r>
          </w:p>
        </w:tc>
      </w:tr>
    </w:tbl>
    <w:p w14:paraId="50453AA1" w14:textId="77777777" w:rsidR="00367110" w:rsidRPr="007D18AF" w:rsidRDefault="00367110" w:rsidP="007D18AF">
      <w:pPr>
        <w:rPr>
          <w:rFonts w:ascii="Arial" w:hAnsi="Arial" w:cs="Arial"/>
          <w:b/>
          <w:bCs/>
          <w:sz w:val="24"/>
          <w:szCs w:val="24"/>
        </w:rPr>
      </w:pPr>
    </w:p>
    <w:sectPr w:rsidR="00367110" w:rsidRPr="007D18A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D365" w14:textId="77777777" w:rsidR="00F462DD" w:rsidRDefault="00F462DD" w:rsidP="00367110">
      <w:pPr>
        <w:spacing w:after="0" w:line="240" w:lineRule="auto"/>
      </w:pPr>
      <w:r>
        <w:separator/>
      </w:r>
    </w:p>
  </w:endnote>
  <w:endnote w:type="continuationSeparator" w:id="0">
    <w:p w14:paraId="2501E149" w14:textId="77777777" w:rsidR="00F462DD" w:rsidRDefault="00F462DD" w:rsidP="00367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24E3B" w14:textId="77777777" w:rsidR="00F462DD" w:rsidRDefault="00F462DD" w:rsidP="00367110">
      <w:pPr>
        <w:spacing w:after="0" w:line="240" w:lineRule="auto"/>
      </w:pPr>
      <w:r>
        <w:separator/>
      </w:r>
    </w:p>
  </w:footnote>
  <w:footnote w:type="continuationSeparator" w:id="0">
    <w:p w14:paraId="5DE82ADB" w14:textId="77777777" w:rsidR="00F462DD" w:rsidRDefault="00F462DD" w:rsidP="00367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7E22C" w14:textId="1E5098AA" w:rsidR="00367110" w:rsidRPr="00367110" w:rsidRDefault="00367110" w:rsidP="00367110">
    <w:pPr>
      <w:pStyle w:val="Header"/>
      <w:jc w:val="center"/>
      <w:rPr>
        <w:sz w:val="32"/>
        <w:szCs w:val="32"/>
      </w:rPr>
    </w:pPr>
    <w:r w:rsidRPr="00367110">
      <w:rPr>
        <w:sz w:val="32"/>
        <w:szCs w:val="32"/>
      </w:rPr>
      <w:t>Red Street Community Key statements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10ED3"/>
    <w:multiLevelType w:val="multilevel"/>
    <w:tmpl w:val="B72E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2183C"/>
    <w:multiLevelType w:val="hybridMultilevel"/>
    <w:tmpl w:val="6B5E7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A660A9"/>
    <w:multiLevelType w:val="multilevel"/>
    <w:tmpl w:val="0D527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894486"/>
    <w:multiLevelType w:val="multilevel"/>
    <w:tmpl w:val="06C28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1B6D49"/>
    <w:multiLevelType w:val="hybridMultilevel"/>
    <w:tmpl w:val="D700C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DE2884"/>
    <w:multiLevelType w:val="hybridMultilevel"/>
    <w:tmpl w:val="3AE82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17188"/>
    <w:multiLevelType w:val="hybridMultilevel"/>
    <w:tmpl w:val="81286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6590">
    <w:abstractNumId w:val="4"/>
  </w:num>
  <w:num w:numId="2" w16cid:durableId="26100960">
    <w:abstractNumId w:val="1"/>
  </w:num>
  <w:num w:numId="3" w16cid:durableId="326909358">
    <w:abstractNumId w:val="5"/>
  </w:num>
  <w:num w:numId="4" w16cid:durableId="160854099">
    <w:abstractNumId w:val="6"/>
  </w:num>
  <w:num w:numId="5" w16cid:durableId="588319010">
    <w:abstractNumId w:val="0"/>
  </w:num>
  <w:num w:numId="6" w16cid:durableId="535698371">
    <w:abstractNumId w:val="3"/>
  </w:num>
  <w:num w:numId="7" w16cid:durableId="12450669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6BFF"/>
    <w:rsid w:val="00000F10"/>
    <w:rsid w:val="000B0C9F"/>
    <w:rsid w:val="002466CE"/>
    <w:rsid w:val="0026314A"/>
    <w:rsid w:val="002F2900"/>
    <w:rsid w:val="003072B6"/>
    <w:rsid w:val="00362906"/>
    <w:rsid w:val="00367110"/>
    <w:rsid w:val="0037195E"/>
    <w:rsid w:val="003D7CB3"/>
    <w:rsid w:val="0049728D"/>
    <w:rsid w:val="00606EB9"/>
    <w:rsid w:val="0064569B"/>
    <w:rsid w:val="006676BA"/>
    <w:rsid w:val="006E20FE"/>
    <w:rsid w:val="00715115"/>
    <w:rsid w:val="0073150D"/>
    <w:rsid w:val="00756BFF"/>
    <w:rsid w:val="007766AA"/>
    <w:rsid w:val="0078240A"/>
    <w:rsid w:val="007D18AF"/>
    <w:rsid w:val="008F2B6E"/>
    <w:rsid w:val="00955C9B"/>
    <w:rsid w:val="009D45C1"/>
    <w:rsid w:val="009F06B7"/>
    <w:rsid w:val="00AF26FC"/>
    <w:rsid w:val="00B722F6"/>
    <w:rsid w:val="00C10988"/>
    <w:rsid w:val="00C31E3E"/>
    <w:rsid w:val="00C60F65"/>
    <w:rsid w:val="00CA08A6"/>
    <w:rsid w:val="00EE499D"/>
    <w:rsid w:val="00F00255"/>
    <w:rsid w:val="00F4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ABE3E"/>
  <w15:chartTrackingRefBased/>
  <w15:docId w15:val="{F146FA67-D040-4D52-AC8D-BB28ABD2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315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7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110"/>
  </w:style>
  <w:style w:type="paragraph" w:styleId="Footer">
    <w:name w:val="footer"/>
    <w:basedOn w:val="Normal"/>
    <w:link w:val="FooterChar"/>
    <w:uiPriority w:val="99"/>
    <w:unhideWhenUsed/>
    <w:rsid w:val="0036711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110"/>
  </w:style>
  <w:style w:type="paragraph" w:styleId="ListParagraph">
    <w:name w:val="List Paragraph"/>
    <w:basedOn w:val="Normal"/>
    <w:uiPriority w:val="34"/>
    <w:qFormat/>
    <w:rsid w:val="00367110"/>
    <w:pPr>
      <w:ind w:left="720"/>
      <w:contextualSpacing/>
    </w:pPr>
  </w:style>
  <w:style w:type="table" w:styleId="TableGrid">
    <w:name w:val="Table Grid"/>
    <w:basedOn w:val="TableNormal"/>
    <w:uiPriority w:val="39"/>
    <w:rsid w:val="0036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3150D"/>
    <w:rPr>
      <w:rFonts w:ascii="Times New Roman" w:eastAsia="Times New Roman" w:hAnsi="Times New Roman" w:cs="Times New Roman"/>
      <w:b/>
      <w:bCs/>
      <w:kern w:val="0"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1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9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 Heinsohn</dc:creator>
  <cp:keywords/>
  <dc:description/>
  <cp:lastModifiedBy>Seb Heinsohn</cp:lastModifiedBy>
  <cp:revision>2</cp:revision>
  <cp:lastPrinted>2023-06-27T16:33:00Z</cp:lastPrinted>
  <dcterms:created xsi:type="dcterms:W3CDTF">2023-06-29T06:50:00Z</dcterms:created>
  <dcterms:modified xsi:type="dcterms:W3CDTF">2023-06-29T06:50:00Z</dcterms:modified>
</cp:coreProperties>
</file>